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7C" w:rsidRDefault="00BC4E7C" w:rsidP="00BC4E7C">
      <w:pPr>
        <w:framePr w:w="10747" w:h="71" w:hRule="exact" w:wrap="none" w:vAnchor="page" w:hAnchor="page" w:x="493" w:y="1"/>
      </w:pPr>
    </w:p>
    <w:p w:rsidR="00D26F67" w:rsidRDefault="00D26F67">
      <w:pPr>
        <w:rPr>
          <w:sz w:val="2"/>
          <w:szCs w:val="2"/>
        </w:rPr>
      </w:pPr>
    </w:p>
    <w:p w:rsidR="00D26F67" w:rsidRDefault="00D26F67">
      <w:pPr>
        <w:framePr w:wrap="none" w:vAnchor="page" w:hAnchor="page" w:x="254" w:y="3690"/>
      </w:pPr>
    </w:p>
    <w:p w:rsidR="00D26F67" w:rsidRDefault="00D26F67">
      <w:pPr>
        <w:framePr w:wrap="none" w:vAnchor="page" w:hAnchor="page" w:x="10041" w:y="4442"/>
      </w:pPr>
    </w:p>
    <w:p w:rsidR="00D26F67" w:rsidRDefault="00D26F67">
      <w:pPr>
        <w:framePr w:w="9725" w:h="5622" w:hRule="exact" w:wrap="none" w:vAnchor="page" w:hAnchor="page" w:x="1104" w:y="8128"/>
      </w:pPr>
    </w:p>
    <w:p w:rsidR="00D26F67" w:rsidRDefault="00D26F67">
      <w:pPr>
        <w:framePr w:w="10747" w:h="864" w:hRule="exact" w:wrap="none" w:vAnchor="page" w:hAnchor="page" w:x="254" w:y="14953"/>
      </w:pPr>
    </w:p>
    <w:p w:rsidR="00D26F67" w:rsidRDefault="00D26F67">
      <w:pPr>
        <w:framePr w:wrap="none" w:vAnchor="page" w:hAnchor="page" w:x="8942" w:y="15428"/>
      </w:pPr>
    </w:p>
    <w:p w:rsidR="00BC4E7C" w:rsidRDefault="00BC4E7C" w:rsidP="00BC4E7C">
      <w:pPr>
        <w:pStyle w:val="50"/>
        <w:framePr w:w="10747" w:h="7482" w:hRule="exact" w:wrap="none" w:vAnchor="page" w:hAnchor="page" w:x="529" w:y="1880"/>
        <w:shd w:val="clear" w:color="auto" w:fill="auto"/>
        <w:spacing w:before="0" w:line="276" w:lineRule="auto"/>
        <w:ind w:left="142" w:right="-26"/>
        <w:jc w:val="center"/>
        <w:rPr>
          <w:rStyle w:val="514pt"/>
          <w:b/>
          <w:sz w:val="32"/>
          <w:szCs w:val="32"/>
        </w:rPr>
      </w:pPr>
      <w:r w:rsidRPr="00BC4E7C">
        <w:rPr>
          <w:rStyle w:val="514pt"/>
          <w:b/>
          <w:sz w:val="32"/>
          <w:szCs w:val="32"/>
        </w:rPr>
        <w:t>20 ноября 2019 года в 10:00 часов в конференц-зале ТМООП «</w:t>
      </w:r>
      <w:proofErr w:type="gramStart"/>
      <w:r w:rsidRPr="00BC4E7C">
        <w:rPr>
          <w:rStyle w:val="514pt"/>
          <w:b/>
          <w:sz w:val="32"/>
          <w:szCs w:val="32"/>
        </w:rPr>
        <w:t>Тюменский</w:t>
      </w:r>
      <w:proofErr w:type="gramEnd"/>
      <w:r w:rsidRPr="00BC4E7C">
        <w:rPr>
          <w:rStyle w:val="514pt"/>
          <w:b/>
          <w:sz w:val="32"/>
          <w:szCs w:val="32"/>
        </w:rPr>
        <w:t xml:space="preserve"> </w:t>
      </w:r>
      <w:proofErr w:type="spellStart"/>
      <w:r w:rsidRPr="00BC4E7C">
        <w:rPr>
          <w:rStyle w:val="514pt"/>
          <w:b/>
          <w:sz w:val="32"/>
          <w:szCs w:val="32"/>
        </w:rPr>
        <w:t>облсовпроф</w:t>
      </w:r>
      <w:proofErr w:type="spellEnd"/>
      <w:r w:rsidRPr="00BC4E7C">
        <w:rPr>
          <w:rStyle w:val="514pt"/>
          <w:b/>
          <w:sz w:val="32"/>
          <w:szCs w:val="32"/>
        </w:rPr>
        <w:t xml:space="preserve">» состоялось XI заседание Совета </w:t>
      </w:r>
    </w:p>
    <w:p w:rsidR="00BC4E7C" w:rsidRDefault="00BC4E7C" w:rsidP="00BC4E7C">
      <w:pPr>
        <w:pStyle w:val="50"/>
        <w:framePr w:w="10747" w:h="7482" w:hRule="exact" w:wrap="none" w:vAnchor="page" w:hAnchor="page" w:x="529" w:y="1880"/>
        <w:shd w:val="clear" w:color="auto" w:fill="auto"/>
        <w:spacing w:before="0" w:line="276" w:lineRule="auto"/>
        <w:ind w:left="142" w:right="-26"/>
        <w:jc w:val="center"/>
        <w:rPr>
          <w:rStyle w:val="514pt"/>
          <w:b/>
          <w:sz w:val="32"/>
          <w:szCs w:val="32"/>
        </w:rPr>
      </w:pPr>
      <w:r w:rsidRPr="00BC4E7C">
        <w:rPr>
          <w:rStyle w:val="514pt"/>
          <w:b/>
          <w:sz w:val="32"/>
          <w:szCs w:val="32"/>
        </w:rPr>
        <w:t>союза Тюменского межрегионального объединения организаций профсоюзов «Тюменский областной совет профессиональных союзов».</w:t>
      </w:r>
    </w:p>
    <w:p w:rsidR="00BC4E7C" w:rsidRPr="00BC4E7C" w:rsidRDefault="00BC4E7C" w:rsidP="00BC4E7C">
      <w:pPr>
        <w:pStyle w:val="50"/>
        <w:framePr w:w="10747" w:h="7482" w:hRule="exact" w:wrap="none" w:vAnchor="page" w:hAnchor="page" w:x="529" w:y="1880"/>
        <w:shd w:val="clear" w:color="auto" w:fill="auto"/>
        <w:spacing w:before="0" w:line="276" w:lineRule="auto"/>
        <w:ind w:left="142" w:right="-26"/>
        <w:jc w:val="center"/>
        <w:rPr>
          <w:b/>
          <w:sz w:val="32"/>
          <w:szCs w:val="32"/>
        </w:rPr>
      </w:pPr>
    </w:p>
    <w:p w:rsidR="00BC4E7C" w:rsidRDefault="00BC4E7C" w:rsidP="00BC4E7C">
      <w:pPr>
        <w:pStyle w:val="50"/>
        <w:framePr w:w="10747" w:h="7482" w:hRule="exact" w:wrap="none" w:vAnchor="page" w:hAnchor="page" w:x="529" w:y="1880"/>
        <w:shd w:val="clear" w:color="auto" w:fill="auto"/>
        <w:spacing w:before="0" w:line="280" w:lineRule="exact"/>
        <w:ind w:left="4780"/>
        <w:jc w:val="left"/>
        <w:rPr>
          <w:rStyle w:val="514pt"/>
          <w:b/>
          <w:sz w:val="40"/>
          <w:szCs w:val="40"/>
        </w:rPr>
      </w:pPr>
      <w:r w:rsidRPr="00BC4E7C">
        <w:rPr>
          <w:rStyle w:val="514pt"/>
          <w:b/>
          <w:sz w:val="32"/>
          <w:szCs w:val="32"/>
        </w:rPr>
        <w:t>П</w:t>
      </w:r>
      <w:r w:rsidRPr="00BC4E7C">
        <w:rPr>
          <w:rStyle w:val="514pt"/>
          <w:b/>
          <w:sz w:val="40"/>
          <w:szCs w:val="40"/>
        </w:rPr>
        <w:t>овестка дня</w:t>
      </w:r>
      <w:r>
        <w:rPr>
          <w:rStyle w:val="514pt"/>
          <w:b/>
          <w:sz w:val="40"/>
          <w:szCs w:val="40"/>
        </w:rPr>
        <w:t>:</w:t>
      </w:r>
    </w:p>
    <w:p w:rsidR="00BC4E7C" w:rsidRPr="00BC4E7C" w:rsidRDefault="00BC4E7C" w:rsidP="00BC4E7C">
      <w:pPr>
        <w:pStyle w:val="50"/>
        <w:framePr w:w="10747" w:h="7482" w:hRule="exact" w:wrap="none" w:vAnchor="page" w:hAnchor="page" w:x="529" w:y="1880"/>
        <w:shd w:val="clear" w:color="auto" w:fill="auto"/>
        <w:spacing w:before="0" w:line="280" w:lineRule="exact"/>
        <w:ind w:left="4780"/>
        <w:jc w:val="left"/>
        <w:rPr>
          <w:b/>
          <w:sz w:val="40"/>
          <w:szCs w:val="40"/>
        </w:rPr>
      </w:pPr>
    </w:p>
    <w:p w:rsidR="00BC4E7C" w:rsidRDefault="00BC4E7C" w:rsidP="00BC4E7C">
      <w:pPr>
        <w:pStyle w:val="60"/>
        <w:framePr w:w="10747" w:h="7482" w:hRule="exact" w:wrap="none" w:vAnchor="page" w:hAnchor="page" w:x="529" w:y="1880"/>
        <w:numPr>
          <w:ilvl w:val="0"/>
          <w:numId w:val="2"/>
        </w:numPr>
        <w:shd w:val="clear" w:color="auto" w:fill="auto"/>
        <w:tabs>
          <w:tab w:val="left" w:pos="1677"/>
        </w:tabs>
        <w:spacing w:before="0" w:after="296"/>
        <w:ind w:left="920" w:right="220" w:firstLine="360"/>
      </w:pPr>
      <w:r>
        <w:t>О зад</w:t>
      </w:r>
      <w:bookmarkStart w:id="0" w:name="_GoBack"/>
      <w:bookmarkEnd w:id="0"/>
      <w:r>
        <w:t>ачах профсоюзных организаций Тюменской области по реализации Программы «За справедливую экономику», принятой на X съезде ФНПР.</w:t>
      </w:r>
    </w:p>
    <w:p w:rsidR="00BC4E7C" w:rsidRDefault="00BC4E7C" w:rsidP="00BC4E7C">
      <w:pPr>
        <w:pStyle w:val="60"/>
        <w:framePr w:w="10747" w:h="7482" w:hRule="exact" w:wrap="none" w:vAnchor="page" w:hAnchor="page" w:x="529" w:y="1880"/>
        <w:numPr>
          <w:ilvl w:val="0"/>
          <w:numId w:val="2"/>
        </w:numPr>
        <w:shd w:val="clear" w:color="auto" w:fill="auto"/>
        <w:tabs>
          <w:tab w:val="left" w:pos="1670"/>
        </w:tabs>
        <w:spacing w:before="0" w:after="308" w:line="326" w:lineRule="exact"/>
        <w:ind w:left="920" w:right="220" w:firstLine="360"/>
      </w:pPr>
      <w:r>
        <w:t>О подготовке и проведении XXV Тюменской областной отчетн</w:t>
      </w:r>
      <w:proofErr w:type="gramStart"/>
      <w:r>
        <w:t>о-</w:t>
      </w:r>
      <w:proofErr w:type="gramEnd"/>
      <w:r>
        <w:t xml:space="preserve"> выборной межсоюзной конференции ТМООП «Тюменский </w:t>
      </w:r>
      <w:proofErr w:type="spellStart"/>
      <w:r>
        <w:t>облсовпроф</w:t>
      </w:r>
      <w:proofErr w:type="spellEnd"/>
      <w:r>
        <w:t>».</w:t>
      </w:r>
    </w:p>
    <w:p w:rsidR="00BC4E7C" w:rsidRDefault="00BC4E7C" w:rsidP="00BC4E7C">
      <w:pPr>
        <w:pStyle w:val="60"/>
        <w:framePr w:w="10747" w:h="7482" w:hRule="exact" w:wrap="none" w:vAnchor="page" w:hAnchor="page" w:x="529" w:y="1880"/>
        <w:shd w:val="clear" w:color="auto" w:fill="auto"/>
        <w:tabs>
          <w:tab w:val="left" w:pos="1282"/>
        </w:tabs>
        <w:spacing w:before="0" w:after="0" w:line="317" w:lineRule="exact"/>
        <w:ind w:firstLine="0"/>
      </w:pPr>
      <w:r>
        <w:t>,</w:t>
      </w:r>
      <w:r>
        <w:tab/>
        <w:t>3. Об основных показателях сметы доходов и расходов ТМООП</w:t>
      </w:r>
    </w:p>
    <w:p w:rsidR="00BC4E7C" w:rsidRDefault="00BC4E7C" w:rsidP="00BC4E7C">
      <w:pPr>
        <w:pStyle w:val="60"/>
        <w:framePr w:w="10747" w:h="7482" w:hRule="exact" w:wrap="none" w:vAnchor="page" w:hAnchor="page" w:x="529" w:y="1880"/>
        <w:shd w:val="clear" w:color="auto" w:fill="auto"/>
        <w:spacing w:before="0" w:after="0" w:line="317" w:lineRule="exact"/>
        <w:ind w:left="920" w:firstLine="0"/>
        <w:jc w:val="left"/>
      </w:pPr>
      <w:r>
        <w:t>«</w:t>
      </w:r>
      <w:proofErr w:type="gramStart"/>
      <w:r>
        <w:t>Тюменский</w:t>
      </w:r>
      <w:proofErr w:type="gramEnd"/>
      <w:r>
        <w:t xml:space="preserve"> </w:t>
      </w:r>
      <w:proofErr w:type="spellStart"/>
      <w:r>
        <w:t>облсовпроф</w:t>
      </w:r>
      <w:proofErr w:type="spellEnd"/>
      <w:r>
        <w:t>» на первое полугодие 2020 года.</w:t>
      </w:r>
    </w:p>
    <w:p w:rsidR="00D26F67" w:rsidRDefault="00D26F67">
      <w:pPr>
        <w:rPr>
          <w:sz w:val="2"/>
          <w:szCs w:val="2"/>
        </w:rPr>
      </w:pPr>
    </w:p>
    <w:sectPr w:rsidR="00D26F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4D" w:rsidRDefault="004B404D">
      <w:r>
        <w:separator/>
      </w:r>
    </w:p>
  </w:endnote>
  <w:endnote w:type="continuationSeparator" w:id="0">
    <w:p w:rsidR="004B404D" w:rsidRDefault="004B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4D" w:rsidRDefault="004B404D"/>
  </w:footnote>
  <w:footnote w:type="continuationSeparator" w:id="0">
    <w:p w:rsidR="004B404D" w:rsidRDefault="004B40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4A"/>
    <w:multiLevelType w:val="multilevel"/>
    <w:tmpl w:val="F47A9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80769"/>
    <w:multiLevelType w:val="multilevel"/>
    <w:tmpl w:val="C9B82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6F67"/>
    <w:rsid w:val="004B404D"/>
    <w:rsid w:val="00BC4E7C"/>
    <w:rsid w:val="00D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240" w:line="322" w:lineRule="exact"/>
      <w:ind w:firstLine="4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2</cp:revision>
  <dcterms:created xsi:type="dcterms:W3CDTF">2019-11-25T16:03:00Z</dcterms:created>
  <dcterms:modified xsi:type="dcterms:W3CDTF">2019-11-25T16:03:00Z</dcterms:modified>
</cp:coreProperties>
</file>